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F15E2FC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E02A0" w:rsidRPr="003E02A0">
        <w:t>10027620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37D3AB7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3B56E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B07CFF">
        <w:rPr>
          <w:rFonts w:cs="Arial"/>
          <w:szCs w:val="22"/>
        </w:rPr>
        <w:t>80,000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478042BA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B07CFF">
        <w:t>2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57DCCAC7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3B56E3">
        <w:rPr>
          <w:b w:val="0"/>
          <w:bCs w:val="0"/>
        </w:rPr>
        <w:t>20,000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0F0E190C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3B56E3">
        <w:rPr>
          <w:b w:val="0"/>
        </w:rPr>
        <w:t>1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3B56E3">
        <w:rPr>
          <w:b w:val="0"/>
        </w:rPr>
        <w:t xml:space="preserve">strategic </w:t>
      </w:r>
      <w:r w:rsidR="00084AE6">
        <w:rPr>
          <w:b w:val="0"/>
        </w:rPr>
        <w:t>study on raw material</w:t>
      </w:r>
    </w:p>
    <w:bookmarkEnd w:id="42"/>
    <w:p w14:paraId="200EC6B6" w14:textId="62D83576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84AE6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84AE6">
        <w:rPr>
          <w:bCs w:val="0"/>
        </w:rPr>
        <w:t>in World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E609" w14:textId="77777777" w:rsidR="00371E93" w:rsidRDefault="00371E93" w:rsidP="00A637D0">
      <w:r>
        <w:separator/>
      </w:r>
    </w:p>
  </w:endnote>
  <w:endnote w:type="continuationSeparator" w:id="0">
    <w:p w14:paraId="656B0E6D" w14:textId="77777777" w:rsidR="00371E93" w:rsidRDefault="00371E9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E8CD" w14:textId="77777777" w:rsidR="00371E93" w:rsidRDefault="00371E93" w:rsidP="00A637D0">
      <w:r>
        <w:separator/>
      </w:r>
    </w:p>
  </w:footnote>
  <w:footnote w:type="continuationSeparator" w:id="0">
    <w:p w14:paraId="300EA68E" w14:textId="77777777" w:rsidR="00371E93" w:rsidRDefault="00371E93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r>
        <w:t xml:space="preserve">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1494B4BF" w14:textId="77777777" w:rsidR="003E02A0" w:rsidRDefault="00975A78" w:rsidP="003E02A0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</w:p>
              <w:p w14:paraId="625F0F3A" w14:textId="690F8CAD" w:rsidR="00040265" w:rsidRPr="00040265" w:rsidRDefault="00371E93" w:rsidP="003E02A0">
                <w:pPr>
                  <w:tabs>
                    <w:tab w:val="right" w:pos="9356"/>
                  </w:tabs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371E93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371E93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84AE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A7C87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E93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56E3"/>
    <w:rsid w:val="003B67CC"/>
    <w:rsid w:val="003C31A1"/>
    <w:rsid w:val="003C3527"/>
    <w:rsid w:val="003C3986"/>
    <w:rsid w:val="003C6FDC"/>
    <w:rsid w:val="003D09FF"/>
    <w:rsid w:val="003D266E"/>
    <w:rsid w:val="003E02A0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07CFF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90F9F"/>
    <w:rsid w:val="000D3A05"/>
    <w:rsid w:val="001747C0"/>
    <w:rsid w:val="00194B2D"/>
    <w:rsid w:val="001A7C87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10</Pages>
  <Words>1841</Words>
  <Characters>11599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Bahl, Caroline GIZ</cp:lastModifiedBy>
  <cp:revision>2</cp:revision>
  <cp:lastPrinted>2018-02-16T12:47:00Z</cp:lastPrinted>
  <dcterms:created xsi:type="dcterms:W3CDTF">2026-06-05T12:11:00Z</dcterms:created>
  <dcterms:modified xsi:type="dcterms:W3CDTF">2026-06-05T12:11:00Z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